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黑体" w:hAnsi="黑体" w:eastAsia="黑体" w:cs="黑体"/>
          <w:b/>
          <w:bCs/>
          <w:sz w:val="28"/>
          <w:szCs w:val="28"/>
        </w:rPr>
      </w:pPr>
      <w:r>
        <w:rPr>
          <w:rFonts w:hint="eastAsia" w:ascii="黑体" w:hAnsi="黑体" w:eastAsia="黑体" w:cs="黑体"/>
          <w:b/>
          <w:bCs/>
          <w:sz w:val="28"/>
          <w:szCs w:val="28"/>
        </w:rPr>
        <w:t>附件1：</w:t>
      </w:r>
    </w:p>
    <w:p>
      <w:pPr>
        <w:jc w:val="center"/>
        <w:rPr>
          <w:rFonts w:ascii="黑体" w:eastAsia="黑体"/>
          <w:b/>
          <w:sz w:val="28"/>
          <w:szCs w:val="28"/>
        </w:rPr>
      </w:pPr>
      <w:r>
        <w:rPr>
          <w:rFonts w:hint="eastAsia" w:ascii="黑体" w:eastAsia="黑体"/>
          <w:b/>
          <w:sz w:val="28"/>
          <w:szCs w:val="28"/>
        </w:rPr>
        <w:t>中山职业技术学院经济管理学院</w:t>
      </w:r>
      <w:r>
        <w:rPr>
          <w:rFonts w:ascii="黑体" w:eastAsia="黑体"/>
          <w:b/>
          <w:sz w:val="28"/>
          <w:szCs w:val="28"/>
        </w:rPr>
        <w:t>10.30</w:t>
      </w:r>
      <w:r>
        <w:rPr>
          <w:rFonts w:hint="eastAsia" w:ascii="黑体" w:eastAsia="黑体"/>
          <w:b/>
          <w:sz w:val="28"/>
          <w:szCs w:val="28"/>
        </w:rPr>
        <w:t>双选会邀请函</w:t>
      </w:r>
    </w:p>
    <w:p>
      <w:pPr>
        <w:spacing w:line="360" w:lineRule="auto"/>
        <w:rPr>
          <w:sz w:val="24"/>
        </w:rPr>
      </w:pPr>
      <w:r>
        <w:rPr>
          <w:rFonts w:hint="eastAsia"/>
          <w:sz w:val="24"/>
        </w:rPr>
        <w:t>尊敬的各用人单位：</w:t>
      </w:r>
    </w:p>
    <w:p>
      <w:pPr>
        <w:spacing w:line="360" w:lineRule="auto"/>
        <w:ind w:firstLine="600" w:firstLineChars="250"/>
        <w:rPr>
          <w:sz w:val="24"/>
        </w:rPr>
      </w:pPr>
      <w:r>
        <w:rPr>
          <w:rFonts w:hint="eastAsia"/>
          <w:sz w:val="24"/>
        </w:rPr>
        <w:t>中山职业技术学院是中山市政府成立的公办全日制普通高等院校，学院占地面积</w:t>
      </w:r>
      <w:r>
        <w:rPr>
          <w:sz w:val="24"/>
        </w:rPr>
        <w:t>620</w:t>
      </w:r>
      <w:r>
        <w:rPr>
          <w:rFonts w:hint="eastAsia"/>
          <w:sz w:val="24"/>
        </w:rPr>
        <w:t>余亩，建筑面积</w:t>
      </w:r>
      <w:r>
        <w:rPr>
          <w:sz w:val="24"/>
        </w:rPr>
        <w:t>19.2</w:t>
      </w:r>
      <w:r>
        <w:rPr>
          <w:rFonts w:hint="eastAsia"/>
          <w:sz w:val="24"/>
        </w:rPr>
        <w:t>万平方米，环境幽雅、文风浓郁、设施齐全，是广东省示范性建设院校。学院面向市场，培养高端技能型人才，实施“一镇一品一专业”的专业布局，建成了与当地产业密切相关的</w:t>
      </w:r>
      <w:r>
        <w:rPr>
          <w:sz w:val="24"/>
        </w:rPr>
        <w:t>33</w:t>
      </w:r>
      <w:r>
        <w:rPr>
          <w:rFonts w:hint="eastAsia"/>
          <w:sz w:val="24"/>
        </w:rPr>
        <w:t>个专业，有全日制学生</w:t>
      </w:r>
      <w:r>
        <w:rPr>
          <w:sz w:val="24"/>
        </w:rPr>
        <w:t>7780</w:t>
      </w:r>
      <w:r>
        <w:rPr>
          <w:rFonts w:hint="eastAsia"/>
          <w:sz w:val="24"/>
        </w:rPr>
        <w:t>余人，另有成人教育在籍学生近</w:t>
      </w:r>
      <w:r>
        <w:rPr>
          <w:sz w:val="24"/>
        </w:rPr>
        <w:t>7000</w:t>
      </w:r>
      <w:r>
        <w:rPr>
          <w:rFonts w:hint="eastAsia"/>
          <w:sz w:val="24"/>
        </w:rPr>
        <w:t>余人，毕业生就业率连续五年超过</w:t>
      </w:r>
      <w:r>
        <w:rPr>
          <w:sz w:val="24"/>
        </w:rPr>
        <w:t>98%</w:t>
      </w:r>
      <w:r>
        <w:rPr>
          <w:rFonts w:hint="eastAsia"/>
          <w:sz w:val="24"/>
        </w:rPr>
        <w:t>，广东省教育厅调查显示是学院为省内企业对毕业生满意度最高的院校。</w:t>
      </w:r>
    </w:p>
    <w:p>
      <w:pPr>
        <w:spacing w:line="360" w:lineRule="auto"/>
        <w:rPr>
          <w:sz w:val="24"/>
        </w:rPr>
      </w:pPr>
      <w:r>
        <w:rPr>
          <w:rFonts w:hint="eastAsia"/>
          <w:sz w:val="24"/>
        </w:rPr>
        <w:t>经济管理系是学院最早成立的也是学院最大的系，现有在校生近</w:t>
      </w:r>
      <w:r>
        <w:rPr>
          <w:sz w:val="24"/>
        </w:rPr>
        <w:t>3000</w:t>
      </w:r>
      <w:r>
        <w:rPr>
          <w:rFonts w:hint="eastAsia"/>
          <w:sz w:val="24"/>
        </w:rPr>
        <w:t>人，设有</w:t>
      </w:r>
      <w:r>
        <w:rPr>
          <w:sz w:val="24"/>
        </w:rPr>
        <w:t>10</w:t>
      </w:r>
      <w:r>
        <w:rPr>
          <w:rFonts w:hint="eastAsia"/>
          <w:sz w:val="24"/>
        </w:rPr>
        <w:t>个专业（见附件</w:t>
      </w:r>
      <w:r>
        <w:rPr>
          <w:sz w:val="24"/>
        </w:rPr>
        <w:t>1</w:t>
      </w:r>
      <w:r>
        <w:rPr>
          <w:rFonts w:hint="eastAsia"/>
          <w:sz w:val="24"/>
        </w:rPr>
        <w:t>），其中物流管理为中央财政支持建设的专业，营销策划是广东省重点建设专业，创业管理是全国首开特色专业。拥有</w:t>
      </w:r>
      <w:r>
        <w:rPr>
          <w:sz w:val="24"/>
        </w:rPr>
        <w:t>70</w:t>
      </w:r>
      <w:r>
        <w:rPr>
          <w:rFonts w:hint="eastAsia"/>
          <w:sz w:val="24"/>
        </w:rPr>
        <w:t>余名教职工，均具有硕士以上学历学位，其中教授、副教授、博士占</w:t>
      </w:r>
      <w:r>
        <w:rPr>
          <w:sz w:val="24"/>
        </w:rPr>
        <w:t>33%</w:t>
      </w:r>
      <w:r>
        <w:rPr>
          <w:rFonts w:hint="eastAsia"/>
          <w:sz w:val="24"/>
        </w:rPr>
        <w:t>以上。现有</w:t>
      </w:r>
      <w:r>
        <w:rPr>
          <w:sz w:val="24"/>
        </w:rPr>
        <w:t>2015</w:t>
      </w:r>
      <w:r>
        <w:rPr>
          <w:rFonts w:hint="eastAsia"/>
          <w:sz w:val="24"/>
        </w:rPr>
        <w:t>届毕业生</w:t>
      </w:r>
      <w:r>
        <w:rPr>
          <w:sz w:val="24"/>
        </w:rPr>
        <w:t>1000</w:t>
      </w:r>
      <w:r>
        <w:rPr>
          <w:rFonts w:hint="eastAsia"/>
          <w:sz w:val="24"/>
        </w:rPr>
        <w:t>余人，为落实国家就业政策，加强校企合作，共创美好未来，中山职业技术学院经管系竭诚为用人单位和毕业生搭建良好的沟通平台，诚挚邀请贵单位前来我院招聘</w:t>
      </w:r>
      <w:r>
        <w:rPr>
          <w:sz w:val="24"/>
        </w:rPr>
        <w:t>2015</w:t>
      </w:r>
      <w:r>
        <w:rPr>
          <w:rFonts w:hint="eastAsia"/>
          <w:sz w:val="24"/>
        </w:rPr>
        <w:t>届毕业生并欢迎指导。现将招聘会有关事项敬告如下：</w:t>
      </w:r>
    </w:p>
    <w:p>
      <w:pPr>
        <w:spacing w:line="360" w:lineRule="auto"/>
        <w:ind w:firstLine="570"/>
        <w:rPr>
          <w:sz w:val="24"/>
        </w:rPr>
      </w:pPr>
      <w:r>
        <w:rPr>
          <w:sz w:val="24"/>
        </w:rPr>
        <w:t>1</w:t>
      </w:r>
      <w:r>
        <w:rPr>
          <w:rFonts w:hint="eastAsia"/>
          <w:sz w:val="24"/>
        </w:rPr>
        <w:t>、招聘会不收取任何费用。</w:t>
      </w:r>
    </w:p>
    <w:p>
      <w:pPr>
        <w:spacing w:line="360" w:lineRule="auto"/>
        <w:ind w:firstLine="570"/>
        <w:rPr>
          <w:sz w:val="24"/>
        </w:rPr>
      </w:pPr>
      <w:r>
        <w:rPr>
          <w:sz w:val="24"/>
        </w:rPr>
        <w:t>2</w:t>
      </w:r>
      <w:r>
        <w:rPr>
          <w:rFonts w:hint="eastAsia"/>
          <w:sz w:val="24"/>
        </w:rPr>
        <w:t>、招聘单位自带宣传资料。</w:t>
      </w:r>
    </w:p>
    <w:p>
      <w:pPr>
        <w:spacing w:line="360" w:lineRule="auto"/>
        <w:ind w:firstLine="570"/>
        <w:rPr>
          <w:sz w:val="24"/>
        </w:rPr>
      </w:pPr>
      <w:r>
        <w:rPr>
          <w:sz w:val="24"/>
        </w:rPr>
        <w:t>3</w:t>
      </w:r>
      <w:r>
        <w:rPr>
          <w:rFonts w:hint="eastAsia"/>
          <w:sz w:val="24"/>
        </w:rPr>
        <w:t>、招聘会单位午餐自理。</w:t>
      </w:r>
    </w:p>
    <w:p>
      <w:pPr>
        <w:spacing w:line="360" w:lineRule="auto"/>
        <w:ind w:firstLine="570"/>
        <w:rPr>
          <w:sz w:val="24"/>
        </w:rPr>
      </w:pPr>
      <w:r>
        <w:rPr>
          <w:sz w:val="24"/>
        </w:rPr>
        <w:t>4</w:t>
      </w:r>
      <w:r>
        <w:rPr>
          <w:rFonts w:hint="eastAsia"/>
          <w:sz w:val="24"/>
        </w:rPr>
        <w:t>、招聘单位报到时间为</w:t>
      </w:r>
      <w:r>
        <w:rPr>
          <w:sz w:val="24"/>
        </w:rPr>
        <w:t>10</w:t>
      </w:r>
      <w:r>
        <w:rPr>
          <w:rFonts w:hint="eastAsia"/>
          <w:sz w:val="24"/>
        </w:rPr>
        <w:t>月</w:t>
      </w:r>
      <w:r>
        <w:rPr>
          <w:sz w:val="24"/>
        </w:rPr>
        <w:t>30</w:t>
      </w:r>
      <w:r>
        <w:rPr>
          <w:rFonts w:hint="eastAsia"/>
          <w:sz w:val="24"/>
        </w:rPr>
        <w:t>日下午</w:t>
      </w:r>
      <w:r>
        <w:rPr>
          <w:sz w:val="24"/>
        </w:rPr>
        <w:t>1</w:t>
      </w:r>
      <w:r>
        <w:rPr>
          <w:rFonts w:hint="eastAsia"/>
          <w:sz w:val="24"/>
        </w:rPr>
        <w:t>：</w:t>
      </w:r>
      <w:r>
        <w:rPr>
          <w:sz w:val="24"/>
        </w:rPr>
        <w:t>30</w:t>
      </w:r>
      <w:r>
        <w:rPr>
          <w:rFonts w:hint="eastAsia"/>
          <w:sz w:val="24"/>
        </w:rPr>
        <w:t>开始，报到地点在学院青年广场（第二教学楼前）；</w:t>
      </w:r>
    </w:p>
    <w:p>
      <w:pPr>
        <w:spacing w:line="360" w:lineRule="auto"/>
        <w:ind w:firstLine="570"/>
        <w:rPr>
          <w:sz w:val="24"/>
        </w:rPr>
      </w:pPr>
      <w:r>
        <w:rPr>
          <w:sz w:val="24"/>
        </w:rPr>
        <w:t>4</w:t>
      </w:r>
      <w:r>
        <w:rPr>
          <w:rFonts w:hint="eastAsia"/>
          <w:sz w:val="24"/>
        </w:rPr>
        <w:t>、单位若有其他场地（如面试室等）、设施等方面的要求可在回函</w:t>
      </w:r>
      <w:r>
        <w:rPr>
          <w:sz w:val="24"/>
        </w:rPr>
        <w:t>“</w:t>
      </w:r>
      <w:r>
        <w:rPr>
          <w:rFonts w:hint="eastAsia"/>
          <w:sz w:val="24"/>
        </w:rPr>
        <w:t>备注</w:t>
      </w:r>
      <w:r>
        <w:rPr>
          <w:sz w:val="24"/>
        </w:rPr>
        <w:t>”</w:t>
      </w:r>
      <w:r>
        <w:rPr>
          <w:rFonts w:hint="eastAsia"/>
          <w:sz w:val="24"/>
        </w:rPr>
        <w:t>栏注明，我们将尽量满足。</w:t>
      </w:r>
    </w:p>
    <w:p>
      <w:pPr>
        <w:spacing w:line="360" w:lineRule="auto"/>
        <w:ind w:firstLine="570"/>
        <w:rPr>
          <w:sz w:val="24"/>
        </w:rPr>
      </w:pPr>
      <w:r>
        <w:rPr>
          <w:rFonts w:ascii="Times New Roman" w:hAnsi="Times New Roman" w:eastAsia="宋体" w:cs="Times New Roman"/>
          <w:kern w:val="2"/>
          <w:sz w:val="24"/>
          <w:szCs w:val="24"/>
          <w:lang w:val="en-US" w:eastAsia="zh-CN" w:bidi="ar-SA"/>
        </w:rPr>
        <w:pict>
          <v:shape id="图片 12" o:spid="_x0000_s1026" type="#_x0000_t75" style="position:absolute;left:0;margin-left:291pt;margin-top:46.2pt;height:127.5pt;width:127.5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sz w:val="24"/>
        </w:rPr>
        <w:t>5</w:t>
      </w:r>
      <w:r>
        <w:rPr>
          <w:rFonts w:hint="eastAsia"/>
          <w:sz w:val="24"/>
        </w:rPr>
        <w:t>、请于</w:t>
      </w:r>
      <w:r>
        <w:rPr>
          <w:sz w:val="24"/>
        </w:rPr>
        <w:t>2014</w:t>
      </w:r>
      <w:r>
        <w:rPr>
          <w:rFonts w:hint="eastAsia"/>
          <w:sz w:val="24"/>
        </w:rPr>
        <w:t>年</w:t>
      </w:r>
      <w:r>
        <w:rPr>
          <w:sz w:val="24"/>
        </w:rPr>
        <w:t>10</w:t>
      </w:r>
      <w:r>
        <w:rPr>
          <w:rFonts w:hint="eastAsia"/>
          <w:sz w:val="24"/>
        </w:rPr>
        <w:t>月</w:t>
      </w:r>
      <w:r>
        <w:rPr>
          <w:sz w:val="24"/>
        </w:rPr>
        <w:t>9</w:t>
      </w:r>
      <w:r>
        <w:rPr>
          <w:rFonts w:hint="eastAsia"/>
          <w:sz w:val="24"/>
        </w:rPr>
        <w:t>日下午</w:t>
      </w:r>
      <w:r>
        <w:rPr>
          <w:sz w:val="24"/>
        </w:rPr>
        <w:t>5</w:t>
      </w:r>
      <w:r>
        <w:rPr>
          <w:rFonts w:hint="eastAsia"/>
          <w:sz w:val="24"/>
        </w:rPr>
        <w:t>点前将邀请函回执发电子邮件给相应联系人，以便安排相关事宜。</w:t>
      </w:r>
    </w:p>
    <w:p>
      <w:pPr>
        <w:spacing w:line="360" w:lineRule="auto"/>
        <w:ind w:firstLine="570"/>
        <w:rPr>
          <w:sz w:val="24"/>
        </w:rPr>
      </w:pPr>
    </w:p>
    <w:p>
      <w:pPr>
        <w:spacing w:line="360" w:lineRule="auto"/>
        <w:ind w:firstLine="570"/>
        <w:rPr>
          <w:sz w:val="24"/>
        </w:rPr>
      </w:pPr>
      <w:r>
        <w:rPr>
          <w:rFonts w:hint="eastAsia"/>
          <w:sz w:val="24"/>
        </w:rPr>
        <w:t>期待您的光临！</w:t>
      </w:r>
    </w:p>
    <w:p>
      <w:pPr>
        <w:spacing w:line="360" w:lineRule="auto"/>
        <w:ind w:firstLine="570"/>
        <w:rPr>
          <w:sz w:val="24"/>
        </w:rPr>
      </w:pPr>
    </w:p>
    <w:p>
      <w:pPr>
        <w:spacing w:line="360" w:lineRule="auto"/>
        <w:jc w:val="right"/>
        <w:rPr>
          <w:sz w:val="24"/>
        </w:rPr>
      </w:pPr>
      <w:r>
        <w:rPr>
          <w:rFonts w:hint="eastAsia"/>
          <w:sz w:val="24"/>
        </w:rPr>
        <w:t>中山职业技术学院经济管理学院</w:t>
      </w:r>
    </w:p>
    <w:p>
      <w:pPr>
        <w:spacing w:line="360" w:lineRule="auto"/>
        <w:jc w:val="right"/>
        <w:rPr>
          <w:sz w:val="28"/>
          <w:szCs w:val="28"/>
        </w:rPr>
      </w:pPr>
      <w:r>
        <w:rPr>
          <w:sz w:val="24"/>
        </w:rPr>
        <w:t xml:space="preserve">  2014</w:t>
      </w:r>
      <w:r>
        <w:rPr>
          <w:rFonts w:hint="eastAsia"/>
          <w:sz w:val="24"/>
        </w:rPr>
        <w:t>年</w:t>
      </w:r>
      <w:r>
        <w:rPr>
          <w:sz w:val="24"/>
        </w:rPr>
        <w:t>9</w:t>
      </w:r>
      <w:r>
        <w:rPr>
          <w:rFonts w:hint="eastAsia"/>
          <w:sz w:val="24"/>
        </w:rPr>
        <w:t>月</w:t>
      </w:r>
      <w:r>
        <w:rPr>
          <w:sz w:val="24"/>
        </w:rPr>
        <w:t>25</w:t>
      </w:r>
      <w:r>
        <w:rPr>
          <w:rFonts w:hint="eastAsia"/>
          <w:sz w:val="28"/>
          <w:szCs w:val="28"/>
        </w:rPr>
        <w:t>日</w:t>
      </w:r>
    </w:p>
    <w:p>
      <w:pPr>
        <w:rPr>
          <w:rFonts w:hint="eastAsia"/>
          <w:szCs w:val="21"/>
        </w:rPr>
      </w:pPr>
    </w:p>
    <w:p>
      <w:pPr>
        <w:rPr>
          <w:rFonts w:hint="eastAsia" w:ascii="黑体" w:hAnsi="黑体" w:eastAsia="黑体" w:cs="黑体"/>
          <w:b/>
          <w:bCs/>
          <w:sz w:val="28"/>
          <w:szCs w:val="28"/>
        </w:rPr>
      </w:pPr>
      <w:r>
        <w:rPr>
          <w:rFonts w:hint="eastAsia" w:ascii="黑体" w:hAnsi="黑体" w:eastAsia="黑体" w:cs="黑体"/>
          <w:b/>
          <w:bCs/>
          <w:sz w:val="28"/>
          <w:szCs w:val="28"/>
        </w:rPr>
        <w:t>附件2：</w:t>
      </w:r>
    </w:p>
    <w:p>
      <w:pPr>
        <w:ind w:firstLine="570"/>
        <w:rPr>
          <w:rFonts w:ascii="黑体" w:eastAsia="黑体"/>
          <w:sz w:val="28"/>
          <w:szCs w:val="28"/>
        </w:rPr>
      </w:pPr>
      <w:r>
        <w:rPr>
          <w:rFonts w:ascii="黑体" w:eastAsia="黑体"/>
          <w:sz w:val="28"/>
          <w:szCs w:val="28"/>
        </w:rPr>
        <w:t>2015</w:t>
      </w:r>
      <w:r>
        <w:rPr>
          <w:rFonts w:hint="eastAsia" w:ascii="黑体" w:eastAsia="黑体"/>
          <w:sz w:val="28"/>
          <w:szCs w:val="28"/>
        </w:rPr>
        <w:t>届经济管理系暨招聘会毕业生专业和人数</w:t>
      </w:r>
    </w:p>
    <w:tbl>
      <w:tblPr>
        <w:tblW w:w="6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20"/>
        <w:gridCol w:w="14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rFonts w:hint="eastAsia"/>
                <w:kern w:val="0"/>
                <w:sz w:val="20"/>
                <w:szCs w:val="21"/>
              </w:rPr>
              <w:t>序号</w:t>
            </w:r>
          </w:p>
        </w:tc>
        <w:tc>
          <w:tcPr>
            <w:tcW w:w="2520" w:type="dxa"/>
            <w:vAlign w:val="top"/>
          </w:tcPr>
          <w:p>
            <w:pPr>
              <w:jc w:val="center"/>
              <w:rPr>
                <w:szCs w:val="21"/>
              </w:rPr>
            </w:pPr>
            <w:r>
              <w:rPr>
                <w:rFonts w:hint="eastAsia"/>
                <w:kern w:val="0"/>
                <w:sz w:val="20"/>
                <w:szCs w:val="21"/>
              </w:rPr>
              <w:t>专业及方向</w:t>
            </w:r>
          </w:p>
        </w:tc>
        <w:tc>
          <w:tcPr>
            <w:tcW w:w="1404" w:type="dxa"/>
            <w:vAlign w:val="top"/>
          </w:tcPr>
          <w:p>
            <w:pPr>
              <w:jc w:val="center"/>
              <w:rPr>
                <w:szCs w:val="21"/>
              </w:rPr>
            </w:pPr>
            <w:r>
              <w:rPr>
                <w:rFonts w:hint="eastAsia"/>
                <w:kern w:val="0"/>
                <w:sz w:val="20"/>
                <w:szCs w:val="21"/>
              </w:rPr>
              <w:t>毕业生人数</w:t>
            </w:r>
          </w:p>
        </w:tc>
        <w:tc>
          <w:tcPr>
            <w:tcW w:w="1705" w:type="dxa"/>
            <w:vAlign w:val="top"/>
          </w:tcPr>
          <w:p>
            <w:pPr>
              <w:jc w:val="center"/>
              <w:rPr>
                <w:szCs w:val="21"/>
              </w:rPr>
            </w:pPr>
            <w:r>
              <w:rPr>
                <w:rFonts w:hint="eastAsia"/>
                <w:kern w:val="0"/>
                <w:sz w:val="20"/>
                <w:szCs w:val="21"/>
              </w:rPr>
              <w:t>专业负责人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1</w:t>
            </w:r>
          </w:p>
        </w:tc>
        <w:tc>
          <w:tcPr>
            <w:tcW w:w="2520" w:type="dxa"/>
            <w:vAlign w:val="top"/>
          </w:tcPr>
          <w:p>
            <w:pPr>
              <w:jc w:val="center"/>
              <w:rPr>
                <w:szCs w:val="21"/>
              </w:rPr>
            </w:pPr>
            <w:r>
              <w:rPr>
                <w:rFonts w:hint="eastAsia"/>
                <w:kern w:val="0"/>
                <w:sz w:val="20"/>
                <w:szCs w:val="21"/>
              </w:rPr>
              <w:t>电子商务</w:t>
            </w:r>
          </w:p>
        </w:tc>
        <w:tc>
          <w:tcPr>
            <w:tcW w:w="1404" w:type="dxa"/>
            <w:vAlign w:val="center"/>
          </w:tcPr>
          <w:p>
            <w:pPr>
              <w:jc w:val="center"/>
              <w:rPr>
                <w:color w:val="FF0000"/>
                <w:szCs w:val="21"/>
              </w:rPr>
            </w:pPr>
            <w:r>
              <w:rPr>
                <w:color w:val="FF0000"/>
                <w:kern w:val="0"/>
                <w:sz w:val="20"/>
                <w:szCs w:val="21"/>
              </w:rPr>
              <w:t>108</w:t>
            </w:r>
          </w:p>
        </w:tc>
        <w:tc>
          <w:tcPr>
            <w:tcW w:w="1705" w:type="dxa"/>
            <w:vMerge w:val="restart"/>
            <w:vAlign w:val="center"/>
          </w:tcPr>
          <w:p>
            <w:pPr>
              <w:jc w:val="center"/>
              <w:rPr>
                <w:szCs w:val="21"/>
              </w:rPr>
            </w:pPr>
            <w:r>
              <w:rPr>
                <w:rFonts w:hint="eastAsia"/>
                <w:kern w:val="0"/>
                <w:sz w:val="20"/>
                <w:szCs w:val="21"/>
              </w:rPr>
              <w:t>郑老师</w:t>
            </w:r>
          </w:p>
          <w:p>
            <w:pPr>
              <w:jc w:val="center"/>
              <w:rPr>
                <w:szCs w:val="21"/>
              </w:rPr>
            </w:pPr>
            <w:r>
              <w:rPr>
                <w:kern w:val="0"/>
                <w:sz w:val="20"/>
                <w:szCs w:val="21"/>
              </w:rPr>
              <w:t>85751082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2</w:t>
            </w:r>
          </w:p>
        </w:tc>
        <w:tc>
          <w:tcPr>
            <w:tcW w:w="2520" w:type="dxa"/>
            <w:vAlign w:val="top"/>
          </w:tcPr>
          <w:p>
            <w:pPr>
              <w:jc w:val="center"/>
              <w:rPr>
                <w:szCs w:val="21"/>
              </w:rPr>
            </w:pPr>
            <w:r>
              <w:rPr>
                <w:rFonts w:hint="eastAsia"/>
                <w:kern w:val="0"/>
                <w:sz w:val="20"/>
                <w:szCs w:val="21"/>
              </w:rPr>
              <w:t>商务管理</w:t>
            </w:r>
          </w:p>
          <w:p>
            <w:pPr>
              <w:jc w:val="center"/>
              <w:rPr>
                <w:szCs w:val="21"/>
              </w:rPr>
            </w:pPr>
            <w:r>
              <w:rPr>
                <w:rFonts w:hint="eastAsia"/>
                <w:kern w:val="0"/>
                <w:sz w:val="20"/>
                <w:szCs w:val="21"/>
              </w:rPr>
              <w:t>（国际商务方向）</w:t>
            </w:r>
          </w:p>
        </w:tc>
        <w:tc>
          <w:tcPr>
            <w:tcW w:w="1404" w:type="dxa"/>
            <w:vAlign w:val="center"/>
          </w:tcPr>
          <w:p>
            <w:pPr>
              <w:jc w:val="center"/>
              <w:rPr>
                <w:color w:val="FF0000"/>
                <w:szCs w:val="21"/>
              </w:rPr>
            </w:pPr>
            <w:r>
              <w:rPr>
                <w:color w:val="FF0000"/>
                <w:kern w:val="0"/>
                <w:sz w:val="20"/>
                <w:szCs w:val="21"/>
              </w:rPr>
              <w:t>122</w:t>
            </w:r>
          </w:p>
        </w:tc>
        <w:tc>
          <w:tcPr>
            <w:tcW w:w="1705" w:type="dxa"/>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3</w:t>
            </w:r>
          </w:p>
        </w:tc>
        <w:tc>
          <w:tcPr>
            <w:tcW w:w="2520" w:type="dxa"/>
            <w:vAlign w:val="top"/>
          </w:tcPr>
          <w:p>
            <w:pPr>
              <w:jc w:val="center"/>
              <w:rPr>
                <w:szCs w:val="21"/>
              </w:rPr>
            </w:pPr>
            <w:r>
              <w:rPr>
                <w:rFonts w:hint="eastAsia"/>
                <w:kern w:val="0"/>
                <w:sz w:val="20"/>
                <w:szCs w:val="21"/>
              </w:rPr>
              <w:t>物流管理</w:t>
            </w:r>
          </w:p>
        </w:tc>
        <w:tc>
          <w:tcPr>
            <w:tcW w:w="1404" w:type="dxa"/>
            <w:vAlign w:val="center"/>
          </w:tcPr>
          <w:p>
            <w:pPr>
              <w:jc w:val="center"/>
              <w:rPr>
                <w:color w:val="FF0000"/>
                <w:szCs w:val="21"/>
              </w:rPr>
            </w:pPr>
            <w:r>
              <w:rPr>
                <w:color w:val="FF0000"/>
                <w:kern w:val="0"/>
                <w:sz w:val="20"/>
                <w:szCs w:val="21"/>
              </w:rPr>
              <w:t>124</w:t>
            </w:r>
          </w:p>
        </w:tc>
        <w:tc>
          <w:tcPr>
            <w:tcW w:w="1705" w:type="dxa"/>
            <w:vAlign w:val="center"/>
          </w:tcPr>
          <w:p>
            <w:pPr>
              <w:jc w:val="center"/>
              <w:rPr>
                <w:rFonts w:ascii="幼圆" w:hAnsi="Verdana" w:eastAsia="幼圆"/>
              </w:rPr>
            </w:pPr>
            <w:r>
              <w:rPr>
                <w:rFonts w:hint="eastAsia" w:ascii="幼圆" w:hAnsi="Verdana" w:eastAsia="幼圆"/>
                <w:kern w:val="0"/>
                <w:sz w:val="20"/>
              </w:rPr>
              <w:t>王老师</w:t>
            </w:r>
          </w:p>
          <w:p>
            <w:pPr>
              <w:jc w:val="center"/>
              <w:rPr>
                <w:szCs w:val="21"/>
              </w:rPr>
            </w:pPr>
            <w:r>
              <w:rPr>
                <w:rFonts w:ascii="幼圆" w:eastAsia="幼圆"/>
                <w:kern w:val="0"/>
                <w:sz w:val="20"/>
                <w:szCs w:val="21"/>
              </w:rPr>
              <w:t>88223720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4</w:t>
            </w:r>
          </w:p>
        </w:tc>
        <w:tc>
          <w:tcPr>
            <w:tcW w:w="2520" w:type="dxa"/>
            <w:vAlign w:val="top"/>
          </w:tcPr>
          <w:p>
            <w:pPr>
              <w:jc w:val="center"/>
              <w:rPr>
                <w:szCs w:val="21"/>
              </w:rPr>
            </w:pPr>
            <w:r>
              <w:rPr>
                <w:rFonts w:hint="eastAsia"/>
                <w:kern w:val="0"/>
                <w:sz w:val="20"/>
                <w:szCs w:val="21"/>
              </w:rPr>
              <w:t>营销与策划</w:t>
            </w:r>
          </w:p>
        </w:tc>
        <w:tc>
          <w:tcPr>
            <w:tcW w:w="1404" w:type="dxa"/>
            <w:vAlign w:val="center"/>
          </w:tcPr>
          <w:p>
            <w:pPr>
              <w:jc w:val="center"/>
              <w:rPr>
                <w:color w:val="FF0000"/>
                <w:szCs w:val="21"/>
              </w:rPr>
            </w:pPr>
            <w:r>
              <w:rPr>
                <w:color w:val="FF0000"/>
                <w:kern w:val="0"/>
                <w:sz w:val="20"/>
                <w:szCs w:val="21"/>
              </w:rPr>
              <w:t>120</w:t>
            </w:r>
          </w:p>
        </w:tc>
        <w:tc>
          <w:tcPr>
            <w:tcW w:w="1705" w:type="dxa"/>
            <w:vMerge w:val="restart"/>
            <w:vAlign w:val="center"/>
          </w:tcPr>
          <w:p>
            <w:pPr>
              <w:widowControl/>
              <w:spacing w:line="280" w:lineRule="exact"/>
              <w:jc w:val="center"/>
              <w:rPr>
                <w:rFonts w:ascii="幼圆" w:hAnsi="宋体" w:eastAsia="幼圆" w:cs="宋体"/>
                <w:kern w:val="0"/>
                <w:szCs w:val="21"/>
              </w:rPr>
            </w:pPr>
            <w:r>
              <w:rPr>
                <w:rFonts w:hint="eastAsia" w:ascii="幼圆" w:hAnsi="宋体" w:eastAsia="幼圆" w:cs="宋体"/>
                <w:kern w:val="0"/>
                <w:sz w:val="20"/>
                <w:szCs w:val="21"/>
              </w:rPr>
              <w:t>吴老师</w:t>
            </w:r>
            <w:r>
              <w:rPr>
                <w:rFonts w:ascii="幼圆" w:eastAsia="幼圆"/>
                <w:kern w:val="0"/>
                <w:sz w:val="20"/>
                <w:szCs w:val="21"/>
              </w:rPr>
              <w:t>85751081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5</w:t>
            </w:r>
          </w:p>
        </w:tc>
        <w:tc>
          <w:tcPr>
            <w:tcW w:w="2520" w:type="dxa"/>
            <w:vAlign w:val="top"/>
          </w:tcPr>
          <w:p>
            <w:pPr>
              <w:jc w:val="center"/>
              <w:rPr>
                <w:szCs w:val="21"/>
              </w:rPr>
            </w:pPr>
            <w:r>
              <w:rPr>
                <w:rFonts w:hint="eastAsia"/>
                <w:kern w:val="0"/>
                <w:sz w:val="20"/>
                <w:szCs w:val="21"/>
              </w:rPr>
              <w:t>工商企业管理</w:t>
            </w:r>
          </w:p>
          <w:p>
            <w:pPr>
              <w:jc w:val="center"/>
              <w:rPr>
                <w:szCs w:val="21"/>
              </w:rPr>
            </w:pPr>
            <w:r>
              <w:rPr>
                <w:rFonts w:hint="eastAsia"/>
                <w:kern w:val="0"/>
                <w:sz w:val="20"/>
                <w:szCs w:val="21"/>
              </w:rPr>
              <w:t>（人力资源方向）</w:t>
            </w:r>
          </w:p>
        </w:tc>
        <w:tc>
          <w:tcPr>
            <w:tcW w:w="1404" w:type="dxa"/>
            <w:vAlign w:val="center"/>
          </w:tcPr>
          <w:p>
            <w:pPr>
              <w:jc w:val="center"/>
              <w:rPr>
                <w:color w:val="FF0000"/>
                <w:szCs w:val="21"/>
              </w:rPr>
            </w:pPr>
            <w:r>
              <w:rPr>
                <w:color w:val="FF0000"/>
                <w:kern w:val="0"/>
                <w:sz w:val="20"/>
                <w:szCs w:val="21"/>
              </w:rPr>
              <w:t>155</w:t>
            </w:r>
          </w:p>
        </w:tc>
        <w:tc>
          <w:tcPr>
            <w:tcW w:w="1705" w:type="dxa"/>
            <w:vMerge w:val="continue"/>
            <w:vAlign w:val="center"/>
          </w:tcPr>
          <w:p>
            <w:pPr>
              <w:widowControl/>
              <w:jc w:val="center"/>
              <w:rPr>
                <w:rFonts w:ascii="幼圆" w:hAnsi="宋体" w:eastAsia="幼圆"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6</w:t>
            </w:r>
          </w:p>
        </w:tc>
        <w:tc>
          <w:tcPr>
            <w:tcW w:w="2520" w:type="dxa"/>
            <w:vAlign w:val="top"/>
          </w:tcPr>
          <w:p>
            <w:pPr>
              <w:jc w:val="center"/>
              <w:rPr>
                <w:szCs w:val="21"/>
              </w:rPr>
            </w:pPr>
            <w:r>
              <w:rPr>
                <w:rFonts w:hint="eastAsia"/>
                <w:kern w:val="0"/>
                <w:sz w:val="20"/>
                <w:szCs w:val="21"/>
              </w:rPr>
              <w:t>旅游管理</w:t>
            </w:r>
          </w:p>
          <w:p>
            <w:pPr>
              <w:jc w:val="center"/>
              <w:rPr>
                <w:szCs w:val="21"/>
              </w:rPr>
            </w:pPr>
            <w:r>
              <w:rPr>
                <w:rFonts w:hint="eastAsia"/>
                <w:kern w:val="0"/>
                <w:sz w:val="20"/>
                <w:szCs w:val="21"/>
              </w:rPr>
              <w:t>（旅行社、酒店管理、烹饪与营养方向）</w:t>
            </w:r>
          </w:p>
        </w:tc>
        <w:tc>
          <w:tcPr>
            <w:tcW w:w="1404" w:type="dxa"/>
            <w:vAlign w:val="center"/>
          </w:tcPr>
          <w:p>
            <w:pPr>
              <w:jc w:val="center"/>
              <w:rPr>
                <w:color w:val="FF0000"/>
                <w:szCs w:val="21"/>
              </w:rPr>
            </w:pPr>
            <w:r>
              <w:rPr>
                <w:color w:val="FF0000"/>
                <w:kern w:val="0"/>
                <w:sz w:val="20"/>
                <w:szCs w:val="21"/>
              </w:rPr>
              <w:t>143</w:t>
            </w:r>
          </w:p>
        </w:tc>
        <w:tc>
          <w:tcPr>
            <w:tcW w:w="1705" w:type="dxa"/>
            <w:vAlign w:val="center"/>
          </w:tcPr>
          <w:p>
            <w:pPr>
              <w:widowControl/>
              <w:spacing w:line="280" w:lineRule="exact"/>
              <w:jc w:val="center"/>
              <w:rPr>
                <w:rFonts w:ascii="幼圆" w:hAnsi="宋体" w:eastAsia="幼圆" w:cs="宋体"/>
                <w:kern w:val="0"/>
                <w:szCs w:val="21"/>
              </w:rPr>
            </w:pPr>
            <w:r>
              <w:rPr>
                <w:rFonts w:hint="eastAsia" w:ascii="幼圆" w:hAnsi="宋体" w:eastAsia="幼圆" w:cs="宋体"/>
                <w:kern w:val="0"/>
                <w:sz w:val="20"/>
                <w:szCs w:val="21"/>
              </w:rPr>
              <w:t>张老师</w:t>
            </w:r>
          </w:p>
          <w:p>
            <w:pPr>
              <w:widowControl/>
              <w:spacing w:line="280" w:lineRule="exact"/>
              <w:jc w:val="center"/>
              <w:rPr>
                <w:rFonts w:ascii="幼圆" w:hAnsi="宋体" w:eastAsia="幼圆" w:cs="宋体"/>
                <w:kern w:val="0"/>
                <w:szCs w:val="21"/>
              </w:rPr>
            </w:pPr>
            <w:r>
              <w:rPr>
                <w:rFonts w:ascii="幼圆" w:eastAsia="幼圆"/>
                <w:kern w:val="0"/>
                <w:sz w:val="20"/>
                <w:szCs w:val="21"/>
              </w:rPr>
              <w:t>85751080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7</w:t>
            </w:r>
          </w:p>
        </w:tc>
        <w:tc>
          <w:tcPr>
            <w:tcW w:w="2520" w:type="dxa"/>
            <w:vAlign w:val="top"/>
          </w:tcPr>
          <w:p>
            <w:pPr>
              <w:jc w:val="center"/>
              <w:rPr>
                <w:szCs w:val="21"/>
              </w:rPr>
            </w:pPr>
            <w:r>
              <w:rPr>
                <w:rFonts w:hint="eastAsia"/>
                <w:kern w:val="0"/>
                <w:sz w:val="20"/>
                <w:szCs w:val="21"/>
              </w:rPr>
              <w:t>金融管理与实务</w:t>
            </w:r>
          </w:p>
        </w:tc>
        <w:tc>
          <w:tcPr>
            <w:tcW w:w="1404" w:type="dxa"/>
            <w:vAlign w:val="center"/>
          </w:tcPr>
          <w:p>
            <w:pPr>
              <w:jc w:val="center"/>
              <w:rPr>
                <w:color w:val="FF0000"/>
                <w:szCs w:val="21"/>
              </w:rPr>
            </w:pPr>
            <w:r>
              <w:rPr>
                <w:color w:val="FF0000"/>
                <w:kern w:val="0"/>
                <w:sz w:val="20"/>
                <w:szCs w:val="21"/>
              </w:rPr>
              <w:t>114</w:t>
            </w:r>
          </w:p>
        </w:tc>
        <w:tc>
          <w:tcPr>
            <w:tcW w:w="1705" w:type="dxa"/>
            <w:vMerge w:val="restart"/>
            <w:vAlign w:val="center"/>
          </w:tcPr>
          <w:p>
            <w:pPr>
              <w:widowControl/>
              <w:spacing w:line="300" w:lineRule="exact"/>
              <w:jc w:val="center"/>
              <w:rPr>
                <w:rFonts w:ascii="幼圆" w:hAnsi="宋体" w:eastAsia="幼圆" w:cs="宋体"/>
                <w:kern w:val="0"/>
                <w:szCs w:val="21"/>
              </w:rPr>
            </w:pPr>
            <w:r>
              <w:rPr>
                <w:rFonts w:hint="eastAsia" w:ascii="幼圆" w:hAnsi="宋体" w:eastAsia="幼圆" w:cs="宋体"/>
                <w:kern w:val="0"/>
                <w:sz w:val="20"/>
                <w:szCs w:val="21"/>
              </w:rPr>
              <w:t>多老师</w:t>
            </w:r>
          </w:p>
          <w:p>
            <w:pPr>
              <w:widowControl/>
              <w:spacing w:line="300" w:lineRule="exact"/>
              <w:jc w:val="center"/>
              <w:rPr>
                <w:rFonts w:ascii="幼圆" w:hAnsi="宋体" w:eastAsia="幼圆" w:cs="宋体"/>
                <w:kern w:val="0"/>
                <w:szCs w:val="21"/>
              </w:rPr>
            </w:pPr>
            <w:r>
              <w:rPr>
                <w:rFonts w:ascii="幼圆" w:eastAsia="幼圆"/>
                <w:kern w:val="0"/>
                <w:sz w:val="20"/>
                <w:szCs w:val="21"/>
              </w:rPr>
              <w:t>85751083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kern w:val="0"/>
                <w:sz w:val="20"/>
                <w:szCs w:val="21"/>
              </w:rPr>
              <w:t>8</w:t>
            </w:r>
          </w:p>
        </w:tc>
        <w:tc>
          <w:tcPr>
            <w:tcW w:w="2520" w:type="dxa"/>
            <w:vAlign w:val="top"/>
          </w:tcPr>
          <w:p>
            <w:pPr>
              <w:jc w:val="center"/>
              <w:rPr>
                <w:szCs w:val="21"/>
              </w:rPr>
            </w:pPr>
            <w:r>
              <w:rPr>
                <w:rFonts w:hint="eastAsia"/>
                <w:kern w:val="0"/>
                <w:sz w:val="20"/>
                <w:szCs w:val="21"/>
              </w:rPr>
              <w:t>会计</w:t>
            </w:r>
          </w:p>
        </w:tc>
        <w:tc>
          <w:tcPr>
            <w:tcW w:w="1404" w:type="dxa"/>
            <w:vAlign w:val="center"/>
          </w:tcPr>
          <w:p>
            <w:pPr>
              <w:jc w:val="center"/>
              <w:rPr>
                <w:color w:val="FF0000"/>
                <w:szCs w:val="21"/>
              </w:rPr>
            </w:pPr>
            <w:r>
              <w:rPr>
                <w:color w:val="FF0000"/>
                <w:kern w:val="0"/>
                <w:sz w:val="20"/>
                <w:szCs w:val="21"/>
              </w:rPr>
              <w:t>152</w:t>
            </w:r>
          </w:p>
        </w:tc>
        <w:tc>
          <w:tcPr>
            <w:tcW w:w="1705" w:type="dxa"/>
            <w:vMerge w:val="continue"/>
            <w:vAlign w:val="center"/>
          </w:tcPr>
          <w:p>
            <w:pPr>
              <w:widowControl/>
              <w:jc w:val="left"/>
              <w:rPr>
                <w:rFonts w:ascii="幼圆" w:hAnsi="宋体" w:eastAsia="幼圆"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kern w:val="0"/>
                <w:sz w:val="20"/>
                <w:szCs w:val="21"/>
              </w:rPr>
            </w:pPr>
            <w:r>
              <w:rPr>
                <w:kern w:val="0"/>
                <w:sz w:val="20"/>
                <w:szCs w:val="21"/>
              </w:rPr>
              <w:t>9</w:t>
            </w:r>
          </w:p>
        </w:tc>
        <w:tc>
          <w:tcPr>
            <w:tcW w:w="2520" w:type="dxa"/>
            <w:vAlign w:val="top"/>
          </w:tcPr>
          <w:p>
            <w:pPr>
              <w:jc w:val="center"/>
              <w:rPr>
                <w:kern w:val="0"/>
                <w:sz w:val="20"/>
                <w:szCs w:val="21"/>
              </w:rPr>
            </w:pPr>
            <w:r>
              <w:rPr>
                <w:rFonts w:hint="eastAsia"/>
                <w:sz w:val="20"/>
              </w:rPr>
              <w:t>财务信息管理</w:t>
            </w:r>
          </w:p>
        </w:tc>
        <w:tc>
          <w:tcPr>
            <w:tcW w:w="1404" w:type="dxa"/>
            <w:vAlign w:val="center"/>
          </w:tcPr>
          <w:p>
            <w:pPr>
              <w:jc w:val="center"/>
              <w:rPr>
                <w:color w:val="FF0000"/>
                <w:kern w:val="0"/>
                <w:sz w:val="20"/>
                <w:szCs w:val="21"/>
              </w:rPr>
            </w:pPr>
            <w:r>
              <w:rPr>
                <w:color w:val="FF0000"/>
                <w:kern w:val="0"/>
                <w:sz w:val="20"/>
                <w:szCs w:val="21"/>
              </w:rPr>
              <w:t>58</w:t>
            </w:r>
          </w:p>
        </w:tc>
        <w:tc>
          <w:tcPr>
            <w:tcW w:w="1705" w:type="dxa"/>
            <w:vMerge w:val="continue"/>
            <w:vAlign w:val="center"/>
          </w:tcPr>
          <w:p>
            <w:pPr>
              <w:widowControl/>
              <w:jc w:val="left"/>
              <w:rPr>
                <w:rFonts w:ascii="幼圆" w:hAnsi="宋体" w:eastAsia="幼圆"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top"/>
          </w:tcPr>
          <w:p>
            <w:pPr>
              <w:jc w:val="center"/>
              <w:rPr>
                <w:szCs w:val="21"/>
              </w:rPr>
            </w:pPr>
            <w:r>
              <w:rPr>
                <w:rFonts w:hint="eastAsia"/>
                <w:kern w:val="0"/>
                <w:sz w:val="20"/>
                <w:szCs w:val="21"/>
              </w:rPr>
              <w:t>合计</w:t>
            </w:r>
          </w:p>
        </w:tc>
        <w:tc>
          <w:tcPr>
            <w:tcW w:w="2520" w:type="dxa"/>
            <w:vAlign w:val="top"/>
          </w:tcPr>
          <w:p>
            <w:pPr>
              <w:jc w:val="center"/>
              <w:rPr>
                <w:szCs w:val="21"/>
              </w:rPr>
            </w:pPr>
          </w:p>
        </w:tc>
        <w:tc>
          <w:tcPr>
            <w:tcW w:w="1404" w:type="dxa"/>
            <w:vAlign w:val="top"/>
          </w:tcPr>
          <w:p>
            <w:pPr>
              <w:jc w:val="center"/>
              <w:rPr>
                <w:color w:val="FF0000"/>
                <w:szCs w:val="21"/>
              </w:rPr>
            </w:pPr>
            <w:r>
              <w:rPr>
                <w:color w:val="FF0000"/>
                <w:szCs w:val="21"/>
              </w:rPr>
              <w:t>1096</w:t>
            </w:r>
          </w:p>
        </w:tc>
        <w:tc>
          <w:tcPr>
            <w:tcW w:w="1705" w:type="dxa"/>
            <w:vAlign w:val="top"/>
          </w:tcPr>
          <w:p>
            <w:pPr>
              <w:jc w:val="center"/>
              <w:rPr>
                <w:szCs w:val="21"/>
              </w:rPr>
            </w:pPr>
          </w:p>
        </w:tc>
      </w:tr>
    </w:tbl>
    <w:p>
      <w:pPr>
        <w:rPr>
          <w:rFonts w:hint="eastAsia" w:ascii="黑体" w:hAnsi="黑体" w:eastAsia="黑体" w:cs="黑体"/>
          <w:sz w:val="28"/>
          <w:szCs w:val="28"/>
        </w:rPr>
      </w:pPr>
      <w:r>
        <w:rPr>
          <w:rFonts w:hint="eastAsia" w:ascii="黑体" w:hAnsi="黑体" w:eastAsia="黑体" w:cs="黑体"/>
          <w:sz w:val="28"/>
          <w:szCs w:val="28"/>
        </w:rPr>
        <w:t>附件3：</w:t>
      </w:r>
    </w:p>
    <w:p>
      <w:pPr>
        <w:ind w:firstLine="570"/>
        <w:jc w:val="center"/>
        <w:rPr>
          <w:rFonts w:ascii="黑体" w:eastAsia="黑体"/>
          <w:b/>
          <w:bCs/>
          <w:sz w:val="28"/>
          <w:szCs w:val="28"/>
        </w:rPr>
      </w:pPr>
      <w:r>
        <w:rPr>
          <w:rFonts w:hint="eastAsia" w:ascii="黑体" w:eastAsia="黑体"/>
          <w:b/>
          <w:bCs/>
          <w:sz w:val="28"/>
          <w:szCs w:val="28"/>
        </w:rPr>
        <w:t>招聘会回执</w:t>
      </w:r>
    </w:p>
    <w:tbl>
      <w:tblPr>
        <w:tblW w:w="8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979"/>
        <w:gridCol w:w="900"/>
        <w:gridCol w:w="1260"/>
        <w:gridCol w:w="1260"/>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top"/>
          </w:tcPr>
          <w:p>
            <w:pPr>
              <w:rPr>
                <w:szCs w:val="21"/>
              </w:rPr>
            </w:pPr>
            <w:r>
              <w:rPr>
                <w:rFonts w:hint="eastAsia"/>
                <w:kern w:val="0"/>
                <w:sz w:val="20"/>
                <w:szCs w:val="21"/>
              </w:rPr>
              <w:t>单位名称</w:t>
            </w:r>
          </w:p>
        </w:tc>
        <w:tc>
          <w:tcPr>
            <w:tcW w:w="2879" w:type="dxa"/>
            <w:gridSpan w:val="2"/>
            <w:vAlign w:val="top"/>
          </w:tcPr>
          <w:p>
            <w:pPr>
              <w:rPr>
                <w:szCs w:val="21"/>
              </w:rPr>
            </w:pPr>
          </w:p>
        </w:tc>
        <w:tc>
          <w:tcPr>
            <w:tcW w:w="1260" w:type="dxa"/>
            <w:vAlign w:val="top"/>
          </w:tcPr>
          <w:p>
            <w:pPr>
              <w:rPr>
                <w:szCs w:val="21"/>
              </w:rPr>
            </w:pPr>
            <w:r>
              <w:rPr>
                <w:rFonts w:hint="eastAsia"/>
                <w:kern w:val="0"/>
                <w:sz w:val="20"/>
                <w:szCs w:val="21"/>
              </w:rPr>
              <w:t>单位性质</w:t>
            </w:r>
          </w:p>
        </w:tc>
        <w:tc>
          <w:tcPr>
            <w:tcW w:w="2879" w:type="dxa"/>
            <w:gridSpan w:val="2"/>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top"/>
          </w:tcPr>
          <w:p>
            <w:pPr>
              <w:rPr>
                <w:szCs w:val="21"/>
              </w:rPr>
            </w:pPr>
            <w:r>
              <w:rPr>
                <w:rFonts w:hint="eastAsia"/>
                <w:kern w:val="0"/>
                <w:sz w:val="20"/>
                <w:szCs w:val="21"/>
              </w:rPr>
              <w:t>联系人</w:t>
            </w:r>
          </w:p>
        </w:tc>
        <w:tc>
          <w:tcPr>
            <w:tcW w:w="2879" w:type="dxa"/>
            <w:gridSpan w:val="2"/>
            <w:vAlign w:val="top"/>
          </w:tcPr>
          <w:p>
            <w:pPr>
              <w:rPr>
                <w:szCs w:val="21"/>
              </w:rPr>
            </w:pPr>
          </w:p>
        </w:tc>
        <w:tc>
          <w:tcPr>
            <w:tcW w:w="1260" w:type="dxa"/>
            <w:vAlign w:val="top"/>
          </w:tcPr>
          <w:p>
            <w:pPr>
              <w:rPr>
                <w:szCs w:val="21"/>
              </w:rPr>
            </w:pPr>
            <w:r>
              <w:rPr>
                <w:rFonts w:hint="eastAsia"/>
                <w:kern w:val="0"/>
                <w:sz w:val="20"/>
                <w:szCs w:val="21"/>
              </w:rPr>
              <w:t>联系电话</w:t>
            </w:r>
          </w:p>
        </w:tc>
        <w:tc>
          <w:tcPr>
            <w:tcW w:w="2879" w:type="dxa"/>
            <w:gridSpan w:val="2"/>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367" w:type="dxa"/>
            <w:vMerge w:val="restart"/>
            <w:vAlign w:val="top"/>
          </w:tcPr>
          <w:p>
            <w:pPr>
              <w:rPr>
                <w:szCs w:val="21"/>
              </w:rPr>
            </w:pPr>
          </w:p>
          <w:p>
            <w:pPr>
              <w:rPr>
                <w:kern w:val="0"/>
                <w:sz w:val="20"/>
                <w:szCs w:val="21"/>
              </w:rPr>
            </w:pPr>
          </w:p>
          <w:p>
            <w:pPr>
              <w:rPr>
                <w:kern w:val="0"/>
                <w:sz w:val="20"/>
                <w:szCs w:val="21"/>
              </w:rPr>
            </w:pPr>
          </w:p>
          <w:p>
            <w:pPr>
              <w:rPr>
                <w:kern w:val="0"/>
                <w:sz w:val="20"/>
                <w:szCs w:val="21"/>
              </w:rPr>
            </w:pPr>
          </w:p>
          <w:p>
            <w:pPr>
              <w:rPr>
                <w:kern w:val="0"/>
                <w:sz w:val="20"/>
                <w:szCs w:val="21"/>
              </w:rPr>
            </w:pPr>
            <w:r>
              <w:rPr>
                <w:rFonts w:hint="eastAsia"/>
                <w:kern w:val="0"/>
                <w:sz w:val="20"/>
                <w:szCs w:val="21"/>
              </w:rPr>
              <w:t>招聘岗位：</w:t>
            </w:r>
          </w:p>
          <w:p>
            <w:pPr>
              <w:rPr>
                <w:kern w:val="0"/>
                <w:sz w:val="20"/>
                <w:szCs w:val="21"/>
              </w:rPr>
            </w:pPr>
          </w:p>
          <w:p>
            <w:pPr>
              <w:rPr>
                <w:szCs w:val="21"/>
              </w:rPr>
            </w:pPr>
          </w:p>
        </w:tc>
        <w:tc>
          <w:tcPr>
            <w:tcW w:w="1979" w:type="dxa"/>
            <w:vAlign w:val="top"/>
          </w:tcPr>
          <w:p>
            <w:pPr>
              <w:rPr>
                <w:szCs w:val="21"/>
              </w:rPr>
            </w:pPr>
          </w:p>
        </w:tc>
        <w:tc>
          <w:tcPr>
            <w:tcW w:w="900" w:type="dxa"/>
            <w:vMerge w:val="restart"/>
            <w:vAlign w:val="top"/>
          </w:tcPr>
          <w:p>
            <w:pPr>
              <w:rPr>
                <w:kern w:val="0"/>
                <w:sz w:val="20"/>
                <w:szCs w:val="21"/>
              </w:rPr>
            </w:pPr>
          </w:p>
          <w:p>
            <w:pPr>
              <w:rPr>
                <w:kern w:val="0"/>
                <w:sz w:val="20"/>
                <w:szCs w:val="21"/>
              </w:rPr>
            </w:pPr>
          </w:p>
          <w:p>
            <w:pPr>
              <w:rPr>
                <w:kern w:val="0"/>
                <w:sz w:val="20"/>
                <w:szCs w:val="21"/>
              </w:rPr>
            </w:pPr>
          </w:p>
          <w:p>
            <w:pPr>
              <w:rPr>
                <w:kern w:val="0"/>
                <w:sz w:val="20"/>
                <w:szCs w:val="21"/>
              </w:rPr>
            </w:pPr>
          </w:p>
          <w:p>
            <w:pPr>
              <w:rPr>
                <w:szCs w:val="21"/>
              </w:rPr>
            </w:pPr>
            <w:r>
              <w:rPr>
                <w:rFonts w:hint="eastAsia"/>
                <w:kern w:val="0"/>
                <w:sz w:val="20"/>
                <w:szCs w:val="21"/>
              </w:rPr>
              <w:t>人数：</w:t>
            </w:r>
          </w:p>
        </w:tc>
        <w:tc>
          <w:tcPr>
            <w:tcW w:w="1260" w:type="dxa"/>
            <w:vAlign w:val="top"/>
          </w:tcPr>
          <w:p>
            <w:pPr>
              <w:rPr>
                <w:szCs w:val="21"/>
              </w:rPr>
            </w:pPr>
          </w:p>
        </w:tc>
        <w:tc>
          <w:tcPr>
            <w:tcW w:w="1260" w:type="dxa"/>
            <w:vMerge w:val="restart"/>
            <w:vAlign w:val="top"/>
          </w:tcPr>
          <w:p>
            <w:pPr>
              <w:rPr>
                <w:kern w:val="0"/>
                <w:sz w:val="20"/>
                <w:szCs w:val="21"/>
              </w:rPr>
            </w:pPr>
          </w:p>
          <w:p>
            <w:pPr>
              <w:rPr>
                <w:kern w:val="0"/>
                <w:sz w:val="20"/>
                <w:szCs w:val="21"/>
              </w:rPr>
            </w:pPr>
          </w:p>
          <w:p>
            <w:pPr>
              <w:rPr>
                <w:kern w:val="0"/>
                <w:sz w:val="20"/>
                <w:szCs w:val="21"/>
              </w:rPr>
            </w:pPr>
          </w:p>
          <w:p>
            <w:pPr>
              <w:rPr>
                <w:kern w:val="0"/>
                <w:sz w:val="20"/>
                <w:szCs w:val="21"/>
              </w:rPr>
            </w:pPr>
          </w:p>
          <w:p>
            <w:pPr>
              <w:rPr>
                <w:kern w:val="0"/>
                <w:sz w:val="20"/>
                <w:szCs w:val="21"/>
              </w:rPr>
            </w:pPr>
            <w:r>
              <w:rPr>
                <w:rFonts w:hint="eastAsia"/>
                <w:kern w:val="0"/>
                <w:sz w:val="20"/>
                <w:szCs w:val="21"/>
              </w:rPr>
              <w:t>所需专业</w:t>
            </w:r>
          </w:p>
          <w:p>
            <w:pPr>
              <w:rPr>
                <w:szCs w:val="21"/>
              </w:rPr>
            </w:pPr>
          </w:p>
        </w:tc>
        <w:tc>
          <w:tcPr>
            <w:tcW w:w="1619"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367" w:type="dxa"/>
            <w:vMerge w:val="continue"/>
            <w:vAlign w:val="center"/>
          </w:tcPr>
          <w:p>
            <w:pPr>
              <w:widowControl/>
              <w:jc w:val="left"/>
              <w:rPr>
                <w:szCs w:val="21"/>
              </w:rPr>
            </w:pPr>
          </w:p>
        </w:tc>
        <w:tc>
          <w:tcPr>
            <w:tcW w:w="1979" w:type="dxa"/>
            <w:vAlign w:val="top"/>
          </w:tcPr>
          <w:p>
            <w:pPr>
              <w:rPr>
                <w:szCs w:val="21"/>
              </w:rPr>
            </w:pPr>
          </w:p>
        </w:tc>
        <w:tc>
          <w:tcPr>
            <w:tcW w:w="900" w:type="dxa"/>
            <w:vMerge w:val="continue"/>
            <w:vAlign w:val="center"/>
          </w:tcPr>
          <w:p>
            <w:pPr>
              <w:widowControl/>
              <w:jc w:val="left"/>
              <w:rPr>
                <w:szCs w:val="21"/>
              </w:rPr>
            </w:pPr>
          </w:p>
        </w:tc>
        <w:tc>
          <w:tcPr>
            <w:tcW w:w="1260" w:type="dxa"/>
            <w:vAlign w:val="top"/>
          </w:tcPr>
          <w:p>
            <w:pPr>
              <w:rPr>
                <w:szCs w:val="21"/>
              </w:rPr>
            </w:pPr>
          </w:p>
        </w:tc>
        <w:tc>
          <w:tcPr>
            <w:tcW w:w="1260" w:type="dxa"/>
            <w:vMerge w:val="continue"/>
            <w:vAlign w:val="center"/>
          </w:tcPr>
          <w:p>
            <w:pPr>
              <w:widowControl/>
              <w:jc w:val="left"/>
              <w:rPr>
                <w:szCs w:val="21"/>
              </w:rPr>
            </w:pPr>
          </w:p>
        </w:tc>
        <w:tc>
          <w:tcPr>
            <w:tcW w:w="1619" w:type="dxa"/>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367" w:type="dxa"/>
            <w:vMerge w:val="continue"/>
            <w:vAlign w:val="center"/>
          </w:tcPr>
          <w:p>
            <w:pPr>
              <w:widowControl/>
              <w:jc w:val="left"/>
              <w:rPr>
                <w:szCs w:val="21"/>
              </w:rPr>
            </w:pPr>
          </w:p>
        </w:tc>
        <w:tc>
          <w:tcPr>
            <w:tcW w:w="1979" w:type="dxa"/>
            <w:vAlign w:val="top"/>
          </w:tcPr>
          <w:p>
            <w:pPr>
              <w:rPr>
                <w:szCs w:val="21"/>
              </w:rPr>
            </w:pPr>
          </w:p>
        </w:tc>
        <w:tc>
          <w:tcPr>
            <w:tcW w:w="900" w:type="dxa"/>
            <w:vMerge w:val="continue"/>
            <w:vAlign w:val="center"/>
          </w:tcPr>
          <w:p>
            <w:pPr>
              <w:widowControl/>
              <w:jc w:val="left"/>
              <w:rPr>
                <w:szCs w:val="21"/>
              </w:rPr>
            </w:pPr>
          </w:p>
        </w:tc>
        <w:tc>
          <w:tcPr>
            <w:tcW w:w="1260" w:type="dxa"/>
            <w:vAlign w:val="top"/>
          </w:tcPr>
          <w:p>
            <w:pPr>
              <w:rPr>
                <w:szCs w:val="21"/>
              </w:rPr>
            </w:pPr>
          </w:p>
        </w:tc>
        <w:tc>
          <w:tcPr>
            <w:tcW w:w="1260" w:type="dxa"/>
            <w:vMerge w:val="continue"/>
            <w:vAlign w:val="center"/>
          </w:tcPr>
          <w:p>
            <w:pPr>
              <w:widowControl/>
              <w:jc w:val="left"/>
              <w:rPr>
                <w:szCs w:val="21"/>
              </w:rPr>
            </w:pPr>
          </w:p>
        </w:tc>
        <w:tc>
          <w:tcPr>
            <w:tcW w:w="1619" w:type="dxa"/>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367" w:type="dxa"/>
            <w:vMerge w:val="continue"/>
            <w:vAlign w:val="center"/>
          </w:tcPr>
          <w:p>
            <w:pPr>
              <w:widowControl/>
              <w:jc w:val="left"/>
              <w:rPr>
                <w:szCs w:val="21"/>
              </w:rPr>
            </w:pPr>
          </w:p>
        </w:tc>
        <w:tc>
          <w:tcPr>
            <w:tcW w:w="1979" w:type="dxa"/>
            <w:vAlign w:val="top"/>
          </w:tcPr>
          <w:p>
            <w:pPr>
              <w:rPr>
                <w:szCs w:val="21"/>
              </w:rPr>
            </w:pPr>
          </w:p>
        </w:tc>
        <w:tc>
          <w:tcPr>
            <w:tcW w:w="900" w:type="dxa"/>
            <w:vMerge w:val="continue"/>
            <w:vAlign w:val="center"/>
          </w:tcPr>
          <w:p>
            <w:pPr>
              <w:widowControl/>
              <w:jc w:val="left"/>
              <w:rPr>
                <w:szCs w:val="21"/>
              </w:rPr>
            </w:pPr>
          </w:p>
        </w:tc>
        <w:tc>
          <w:tcPr>
            <w:tcW w:w="1260" w:type="dxa"/>
            <w:vAlign w:val="top"/>
          </w:tcPr>
          <w:p>
            <w:pPr>
              <w:rPr>
                <w:szCs w:val="21"/>
              </w:rPr>
            </w:pPr>
          </w:p>
        </w:tc>
        <w:tc>
          <w:tcPr>
            <w:tcW w:w="1260" w:type="dxa"/>
            <w:vMerge w:val="continue"/>
            <w:vAlign w:val="center"/>
          </w:tcPr>
          <w:p>
            <w:pPr>
              <w:widowControl/>
              <w:jc w:val="left"/>
              <w:rPr>
                <w:szCs w:val="21"/>
              </w:rPr>
            </w:pPr>
          </w:p>
        </w:tc>
        <w:tc>
          <w:tcPr>
            <w:tcW w:w="1619" w:type="dxa"/>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367" w:type="dxa"/>
            <w:vMerge w:val="continue"/>
            <w:vAlign w:val="center"/>
          </w:tcPr>
          <w:p>
            <w:pPr>
              <w:widowControl/>
              <w:jc w:val="left"/>
              <w:rPr>
                <w:szCs w:val="21"/>
              </w:rPr>
            </w:pPr>
          </w:p>
        </w:tc>
        <w:tc>
          <w:tcPr>
            <w:tcW w:w="1979" w:type="dxa"/>
            <w:vAlign w:val="top"/>
          </w:tcPr>
          <w:p>
            <w:pPr>
              <w:rPr>
                <w:szCs w:val="21"/>
              </w:rPr>
            </w:pPr>
          </w:p>
        </w:tc>
        <w:tc>
          <w:tcPr>
            <w:tcW w:w="900" w:type="dxa"/>
            <w:vMerge w:val="continue"/>
            <w:vAlign w:val="center"/>
          </w:tcPr>
          <w:p>
            <w:pPr>
              <w:widowControl/>
              <w:jc w:val="left"/>
              <w:rPr>
                <w:szCs w:val="21"/>
              </w:rPr>
            </w:pPr>
          </w:p>
        </w:tc>
        <w:tc>
          <w:tcPr>
            <w:tcW w:w="1260" w:type="dxa"/>
            <w:vAlign w:val="top"/>
          </w:tcPr>
          <w:p>
            <w:pPr>
              <w:rPr>
                <w:kern w:val="0"/>
                <w:sz w:val="20"/>
                <w:szCs w:val="21"/>
              </w:rPr>
            </w:pPr>
          </w:p>
        </w:tc>
        <w:tc>
          <w:tcPr>
            <w:tcW w:w="1260" w:type="dxa"/>
            <w:vMerge w:val="continue"/>
            <w:vAlign w:val="center"/>
          </w:tcPr>
          <w:p>
            <w:pPr>
              <w:widowControl/>
              <w:jc w:val="left"/>
              <w:rPr>
                <w:szCs w:val="21"/>
              </w:rPr>
            </w:pPr>
          </w:p>
        </w:tc>
        <w:tc>
          <w:tcPr>
            <w:tcW w:w="1619" w:type="dxa"/>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67" w:type="dxa"/>
            <w:vMerge w:val="continue"/>
            <w:vAlign w:val="center"/>
          </w:tcPr>
          <w:p>
            <w:pPr>
              <w:widowControl/>
              <w:jc w:val="left"/>
              <w:rPr>
                <w:szCs w:val="21"/>
              </w:rPr>
            </w:pPr>
          </w:p>
        </w:tc>
        <w:tc>
          <w:tcPr>
            <w:tcW w:w="1979" w:type="dxa"/>
            <w:vAlign w:val="top"/>
          </w:tcPr>
          <w:p>
            <w:pPr>
              <w:rPr>
                <w:szCs w:val="21"/>
              </w:rPr>
            </w:pPr>
          </w:p>
        </w:tc>
        <w:tc>
          <w:tcPr>
            <w:tcW w:w="900" w:type="dxa"/>
            <w:vMerge w:val="continue"/>
            <w:vAlign w:val="center"/>
          </w:tcPr>
          <w:p>
            <w:pPr>
              <w:widowControl/>
              <w:jc w:val="left"/>
              <w:rPr>
                <w:szCs w:val="21"/>
              </w:rPr>
            </w:pPr>
          </w:p>
        </w:tc>
        <w:tc>
          <w:tcPr>
            <w:tcW w:w="1260" w:type="dxa"/>
            <w:vAlign w:val="top"/>
          </w:tcPr>
          <w:p>
            <w:pPr>
              <w:rPr>
                <w:szCs w:val="21"/>
              </w:rPr>
            </w:pPr>
          </w:p>
        </w:tc>
        <w:tc>
          <w:tcPr>
            <w:tcW w:w="1260" w:type="dxa"/>
            <w:vMerge w:val="continue"/>
            <w:vAlign w:val="center"/>
          </w:tcPr>
          <w:p>
            <w:pPr>
              <w:widowControl/>
              <w:jc w:val="left"/>
              <w:rPr>
                <w:szCs w:val="21"/>
              </w:rPr>
            </w:pPr>
          </w:p>
        </w:tc>
        <w:tc>
          <w:tcPr>
            <w:tcW w:w="1619"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367" w:type="dxa"/>
            <w:vMerge w:val="continue"/>
            <w:vAlign w:val="center"/>
          </w:tcPr>
          <w:p>
            <w:pPr>
              <w:widowControl/>
              <w:jc w:val="left"/>
              <w:rPr>
                <w:szCs w:val="21"/>
              </w:rPr>
            </w:pPr>
          </w:p>
        </w:tc>
        <w:tc>
          <w:tcPr>
            <w:tcW w:w="1979" w:type="dxa"/>
            <w:vAlign w:val="top"/>
          </w:tcPr>
          <w:p>
            <w:pPr>
              <w:rPr>
                <w:szCs w:val="21"/>
              </w:rPr>
            </w:pPr>
          </w:p>
        </w:tc>
        <w:tc>
          <w:tcPr>
            <w:tcW w:w="900" w:type="dxa"/>
            <w:vMerge w:val="continue"/>
            <w:vAlign w:val="center"/>
          </w:tcPr>
          <w:p>
            <w:pPr>
              <w:widowControl/>
              <w:jc w:val="left"/>
              <w:rPr>
                <w:szCs w:val="21"/>
              </w:rPr>
            </w:pPr>
          </w:p>
        </w:tc>
        <w:tc>
          <w:tcPr>
            <w:tcW w:w="1260" w:type="dxa"/>
            <w:vAlign w:val="top"/>
          </w:tcPr>
          <w:p>
            <w:pPr>
              <w:rPr>
                <w:szCs w:val="21"/>
              </w:rPr>
            </w:pPr>
          </w:p>
        </w:tc>
        <w:tc>
          <w:tcPr>
            <w:tcW w:w="1260" w:type="dxa"/>
            <w:vMerge w:val="continue"/>
            <w:vAlign w:val="center"/>
          </w:tcPr>
          <w:p>
            <w:pPr>
              <w:widowControl/>
              <w:jc w:val="left"/>
              <w:rPr>
                <w:szCs w:val="21"/>
              </w:rPr>
            </w:pPr>
          </w:p>
        </w:tc>
        <w:tc>
          <w:tcPr>
            <w:tcW w:w="1619"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top"/>
          </w:tcPr>
          <w:p>
            <w:pPr>
              <w:rPr>
                <w:szCs w:val="21"/>
              </w:rPr>
            </w:pPr>
            <w:r>
              <w:rPr>
                <w:rFonts w:hint="eastAsia"/>
                <w:kern w:val="0"/>
                <w:sz w:val="20"/>
                <w:szCs w:val="21"/>
              </w:rPr>
              <w:t>备注</w:t>
            </w:r>
          </w:p>
        </w:tc>
        <w:tc>
          <w:tcPr>
            <w:tcW w:w="7018" w:type="dxa"/>
            <w:gridSpan w:val="5"/>
            <w:vAlign w:val="top"/>
          </w:tcPr>
          <w:p>
            <w:pPr>
              <w:rPr>
                <w:szCs w:val="21"/>
              </w:rPr>
            </w:pPr>
          </w:p>
        </w:tc>
      </w:tr>
    </w:tbl>
    <w:p>
      <w:pPr>
        <w:rPr>
          <w:szCs w:val="21"/>
        </w:rPr>
      </w:pPr>
      <w:r>
        <w:rPr>
          <w:rFonts w:hint="eastAsia" w:ascii="黑体" w:hAnsi="黑体" w:eastAsia="黑体" w:cs="黑体"/>
          <w:b/>
          <w:bCs/>
          <w:sz w:val="28"/>
          <w:szCs w:val="28"/>
        </w:rPr>
        <w:t>附件4</w:t>
      </w:r>
      <w:r>
        <w:rPr>
          <w:rFonts w:hint="eastAsia"/>
          <w:szCs w:val="21"/>
        </w:rPr>
        <w:t>：</w:t>
      </w:r>
    </w:p>
    <w:p>
      <w:pPr>
        <w:ind w:firstLine="570"/>
        <w:jc w:val="center"/>
        <w:rPr>
          <w:szCs w:val="21"/>
        </w:rPr>
      </w:pPr>
      <w:r>
        <w:rPr>
          <w:rFonts w:hint="eastAsia" w:ascii="黑体" w:eastAsia="黑体"/>
          <w:sz w:val="28"/>
          <w:szCs w:val="28"/>
        </w:rPr>
        <w:t>交通指南</w:t>
      </w:r>
    </w:p>
    <w:p>
      <w:pPr>
        <w:numPr>
          <w:numId w:val="0"/>
        </w:numPr>
        <w:ind w:left="570" w:leftChars="0"/>
        <w:rPr>
          <w:szCs w:val="21"/>
        </w:rPr>
      </w:pPr>
      <w:r>
        <w:rPr>
          <w:rFonts w:hint="eastAsia"/>
          <w:szCs w:val="21"/>
          <w:lang w:val="en-US" w:eastAsia="zh-CN"/>
        </w:rPr>
        <w:t>1、</w:t>
      </w:r>
      <w:r>
        <w:rPr>
          <w:rFonts w:hint="eastAsia"/>
          <w:szCs w:val="21"/>
        </w:rPr>
        <w:t>地点：广东省中山市博爱七路</w:t>
      </w:r>
      <w:r>
        <w:rPr>
          <w:szCs w:val="21"/>
        </w:rPr>
        <w:t>25</w:t>
      </w:r>
      <w:r>
        <w:rPr>
          <w:rFonts w:hint="eastAsia"/>
          <w:szCs w:val="21"/>
        </w:rPr>
        <w:t>号中山职业技术学院青年广场（第二教学楼前）</w:t>
      </w:r>
    </w:p>
    <w:p>
      <w:pPr>
        <w:numPr>
          <w:numId w:val="0"/>
        </w:numPr>
        <w:ind w:left="570" w:leftChars="0"/>
        <w:rPr>
          <w:szCs w:val="21"/>
        </w:rPr>
      </w:pPr>
      <w:r>
        <w:rPr>
          <w:rFonts w:hint="eastAsia"/>
          <w:szCs w:val="21"/>
          <w:lang w:val="en-US" w:eastAsia="zh-CN"/>
        </w:rPr>
        <w:t>2、</w:t>
      </w:r>
      <w:r>
        <w:rPr>
          <w:rFonts w:hint="eastAsia"/>
          <w:szCs w:val="21"/>
        </w:rPr>
        <w:t>驾车经京珠高速中山城区出口下，进入博爱路；或经</w:t>
      </w:r>
      <w:r>
        <w:rPr>
          <w:szCs w:val="21"/>
        </w:rPr>
        <w:t>105</w:t>
      </w:r>
      <w:r>
        <w:rPr>
          <w:rFonts w:hint="eastAsia"/>
          <w:szCs w:val="21"/>
        </w:rPr>
        <w:t>国道转博爱路，至中山职业技术学院。</w:t>
      </w:r>
    </w:p>
    <w:p>
      <w:pPr>
        <w:numPr>
          <w:numId w:val="0"/>
        </w:numPr>
        <w:ind w:left="570" w:leftChars="0"/>
        <w:rPr>
          <w:szCs w:val="21"/>
        </w:rPr>
      </w:pPr>
      <w:r>
        <w:rPr>
          <w:rFonts w:hint="eastAsia"/>
          <w:szCs w:val="21"/>
          <w:lang w:val="en-US" w:eastAsia="zh-CN"/>
        </w:rPr>
        <w:t>3、</w:t>
      </w:r>
      <w:r>
        <w:rPr>
          <w:rFonts w:hint="eastAsia"/>
          <w:szCs w:val="21"/>
        </w:rPr>
        <w:t>乘车经</w:t>
      </w:r>
      <w:r>
        <w:rPr>
          <w:szCs w:val="21"/>
        </w:rPr>
        <w:t>36</w:t>
      </w:r>
      <w:r>
        <w:rPr>
          <w:rFonts w:hint="eastAsia"/>
          <w:szCs w:val="21"/>
        </w:rPr>
        <w:t>路、</w:t>
      </w:r>
      <w:r>
        <w:rPr>
          <w:szCs w:val="21"/>
        </w:rPr>
        <w:t>30</w:t>
      </w:r>
      <w:r>
        <w:rPr>
          <w:rFonts w:hint="eastAsia"/>
          <w:szCs w:val="21"/>
        </w:rPr>
        <w:t>路和</w:t>
      </w:r>
      <w:r>
        <w:rPr>
          <w:szCs w:val="21"/>
        </w:rPr>
        <w:t>3</w:t>
      </w:r>
      <w:r>
        <w:rPr>
          <w:rFonts w:hint="eastAsia"/>
          <w:szCs w:val="21"/>
        </w:rPr>
        <w:t>路到中山职业技术学院站下，</w:t>
      </w:r>
      <w:r>
        <w:rPr>
          <w:szCs w:val="21"/>
        </w:rPr>
        <w:t>6</w:t>
      </w:r>
      <w:r>
        <w:rPr>
          <w:rFonts w:hint="eastAsia"/>
          <w:szCs w:val="21"/>
        </w:rPr>
        <w:t>路在大鳌溪站下，进入博爱路七路行</w:t>
      </w:r>
      <w:r>
        <w:rPr>
          <w:szCs w:val="21"/>
        </w:rPr>
        <w:t>200</w:t>
      </w:r>
      <w:r>
        <w:rPr>
          <w:rFonts w:hint="eastAsia"/>
          <w:szCs w:val="21"/>
        </w:rPr>
        <w:t>米。</w:t>
      </w:r>
      <w:bookmarkStart w:id="0" w:name="_GoBack"/>
      <w:bookmarkEnd w:id="0"/>
    </w:p>
    <w:sectPr>
      <w:pgSz w:w="11906" w:h="16838"/>
      <w:pgMar w:top="1440" w:right="1486" w:bottom="73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altName w:val="微软雅黑"/>
    <w:panose1 w:val="020F0502020204030204"/>
    <w:charset w:val="00"/>
    <w:family w:val="auto"/>
    <w:pitch w:val="default"/>
    <w:sig w:usb0="E10002FF" w:usb1="4000ACFF" w:usb2="00000009" w:usb3="00000000" w:csb0="0000019F" w:csb1="00000000"/>
  </w:font>
  <w:font w:name="幼圆">
    <w:altName w:val="宋体"/>
    <w:panose1 w:val="0201050906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7"/>
    <w:semiHidden/>
    <w:unhideWhenUsed/>
    <w:uiPriority w:val="0"/>
    <w:pPr>
      <w:tabs>
        <w:tab w:val="center" w:pos="4153"/>
        <w:tab w:val="right" w:pos="8306"/>
      </w:tabs>
      <w:snapToGrid w:val="0"/>
      <w:jc w:val="left"/>
    </w:pPr>
    <w:rPr>
      <w:sz w:val="18"/>
      <w:szCs w:val="18"/>
    </w:rPr>
  </w:style>
  <w:style w:type="paragraph" w:styleId="3">
    <w:name w:val="header"/>
    <w:basedOn w:val="1"/>
    <w:link w:val="6"/>
    <w:semiHidden/>
    <w:unhideWhenUsed/>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uiPriority w:val="0"/>
    <w:rPr>
      <w:color w:val="0000FF"/>
      <w:u w:val="single"/>
    </w:rPr>
  </w:style>
  <w:style w:type="character" w:customStyle="1" w:styleId="6">
    <w:name w:val="页眉 Char"/>
    <w:basedOn w:val="4"/>
    <w:link w:val="3"/>
    <w:semiHidden/>
    <w:uiPriority w:val="0"/>
    <w:rPr>
      <w:rFonts w:ascii="Times New Roman" w:hAnsi="Times New Roman" w:cs="Times New Roman"/>
      <w:kern w:val="2"/>
      <w:sz w:val="18"/>
      <w:szCs w:val="18"/>
    </w:rPr>
  </w:style>
  <w:style w:type="character" w:customStyle="1" w:styleId="7">
    <w:name w:val="页脚 Char"/>
    <w:basedOn w:val="4"/>
    <w:link w:val="2"/>
    <w:semiHidden/>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254</Words>
  <Characters>1448</Characters>
  <Lines>12</Lines>
  <Paragraphs>3</Paragraphs>
  <ScaleCrop>false</ScaleCrop>
  <LinksUpToDate>false</LinksUpToDate>
  <CharactersWithSpaces>0</CharactersWithSpaces>
  <Application>WPS Office 个人版_9.1.0.4856_{F1E327BC-269C-435d-A152-05C5408002CA}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2014-09-25T04:56:00Z</dcterms:created>
  <dc:creator>雨林木风</dc:creator>
  <cp:lastModifiedBy>Administrator</cp:lastModifiedBy>
  <dcterms:modified xsi:type="dcterms:W3CDTF">2014-09-26T10:35:07Z</dcterms:modified>
  <dc:title>中山职业技术学院经济管理学院10.30双选会通知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